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4" w:rsidRPr="00885D80" w:rsidRDefault="00570904" w:rsidP="00570904">
      <w:pPr>
        <w:jc w:val="center"/>
        <w:rPr>
          <w:b/>
        </w:rPr>
      </w:pPr>
      <w:r w:rsidRPr="00885D80">
        <w:t>CHAMPIONNATS DE FRANCE UNSS ET LYCEES PROFESSIONNELS.</w:t>
      </w:r>
    </w:p>
    <w:p w:rsidR="00570904" w:rsidRDefault="00570904" w:rsidP="00570904">
      <w:pPr>
        <w:autoSpaceDE w:val="0"/>
        <w:autoSpaceDN w:val="0"/>
        <w:adjustRightInd w:val="0"/>
      </w:pPr>
    </w:p>
    <w:p w:rsidR="00570904" w:rsidRDefault="00570904" w:rsidP="00570904">
      <w:pPr>
        <w:ind w:firstLine="708"/>
      </w:pPr>
      <w:r>
        <w:t xml:space="preserve">Lors de notre séquence de réflexion sur le sport scolaire,  nous avons remis au débat la discrimination dont les élèves de LP </w:t>
      </w:r>
      <w:r w:rsidRPr="00885D80">
        <w:t>peuvent</w:t>
      </w:r>
      <w:r>
        <w:t xml:space="preserve"> faire l’objet lors des Championnats de France </w:t>
      </w:r>
      <w:r w:rsidRPr="00885D80">
        <w:t>(CF).</w:t>
      </w:r>
      <w:r>
        <w:t xml:space="preserve"> Nous sommes revenus sur la tournure </w:t>
      </w:r>
      <w:r w:rsidRPr="00885D80">
        <w:t>qu’a pris</w:t>
      </w:r>
      <w:r>
        <w:t>e le championnat de France de Pétanque pour le Lycée Professionnel L de Vinci de Périgueux (Dordogne) qui s’est vu privé du titre et du podium de Champion de France tous lycées confondus.</w:t>
      </w:r>
      <w:r w:rsidRPr="00F20906">
        <w:rPr>
          <w:color w:val="FF0000"/>
        </w:rPr>
        <w:t xml:space="preserve"> </w:t>
      </w:r>
    </w:p>
    <w:p w:rsidR="00570904" w:rsidRDefault="00570904" w:rsidP="00570904">
      <w:pPr>
        <w:autoSpaceDE w:val="0"/>
        <w:autoSpaceDN w:val="0"/>
        <w:adjustRightInd w:val="0"/>
      </w:pPr>
    </w:p>
    <w:p w:rsidR="00570904" w:rsidRPr="00344164" w:rsidRDefault="00570904" w:rsidP="00570904">
      <w:pPr>
        <w:autoSpaceDE w:val="0"/>
        <w:autoSpaceDN w:val="0"/>
        <w:adjustRightInd w:val="0"/>
        <w:rPr>
          <w:rFonts w:ascii="Gotham-Book" w:hAnsi="Gotham-Book" w:cs="Gotham-Book"/>
          <w:color w:val="FFFFFF"/>
          <w:sz w:val="20"/>
          <w:szCs w:val="20"/>
        </w:rPr>
      </w:pPr>
      <w:r>
        <w:t>Dans les chapitres</w:t>
      </w:r>
      <w:r w:rsidRPr="00104CAF">
        <w:t xml:space="preserve"> </w:t>
      </w:r>
      <w:r>
        <w:t xml:space="preserve">du  </w:t>
      </w:r>
      <w:r w:rsidRPr="00823AF1">
        <w:rPr>
          <w:b/>
        </w:rPr>
        <w:t>PNDSS« Ethique</w:t>
      </w:r>
      <w:r>
        <w:rPr>
          <w:b/>
        </w:rPr>
        <w:t> » et</w:t>
      </w:r>
      <w:r w:rsidRPr="00823AF1">
        <w:rPr>
          <w:b/>
        </w:rPr>
        <w:t xml:space="preserve"> « Accessibilité : un sport scolaire ambitieux, démocratisé et accessible à tous les publics »,</w:t>
      </w:r>
      <w:r>
        <w:t xml:space="preserve"> la fédération de l’UNSS souhaite  « </w:t>
      </w:r>
      <w:r w:rsidRPr="00823AF1">
        <w:rPr>
          <w:b/>
          <w:i/>
        </w:rPr>
        <w:t>Permettre à tous les élèves d’accéder au meilleur niveau de pratique »,</w:t>
      </w:r>
      <w:r w:rsidRPr="00823AF1">
        <w:rPr>
          <w:b/>
        </w:rPr>
        <w:t xml:space="preserve"> « </w:t>
      </w:r>
      <w:r w:rsidRPr="00823AF1">
        <w:rPr>
          <w:b/>
          <w:i/>
        </w:rPr>
        <w:t>Proposer une offre particulière pour les LP »</w:t>
      </w:r>
      <w:r w:rsidRPr="00F516EE">
        <w:rPr>
          <w:b/>
          <w:i/>
        </w:rPr>
        <w:t xml:space="preserve"> </w:t>
      </w:r>
      <w:r w:rsidRPr="00F516EE">
        <w:rPr>
          <w:i/>
        </w:rPr>
        <w:t>avec</w:t>
      </w:r>
      <w:r>
        <w:rPr>
          <w:b/>
          <w:i/>
        </w:rPr>
        <w:t xml:space="preserve"> « u</w:t>
      </w:r>
      <w:r w:rsidRPr="00823AF1">
        <w:rPr>
          <w:b/>
          <w:i/>
        </w:rPr>
        <w:t>n championnat de France  particulier LP pour permettre à davantage de lycéens de LP d’accéder à des titres nationaux : dans 4 activités</w:t>
      </w:r>
      <w:r w:rsidRPr="00823AF1">
        <w:rPr>
          <w:rFonts w:ascii="Gotham-Black" w:hAnsi="Gotham-Black" w:cs="Gotham-Black"/>
          <w:b/>
          <w:i/>
          <w:color w:val="000000"/>
          <w:sz w:val="20"/>
          <w:szCs w:val="20"/>
        </w:rPr>
        <w:t xml:space="preserve"> Basket 3x3, </w:t>
      </w:r>
      <w:r>
        <w:rPr>
          <w:rFonts w:ascii="Gotham-Black" w:hAnsi="Gotham-Black" w:cs="Gotham-Black"/>
          <w:b/>
          <w:i/>
          <w:color w:val="000000"/>
          <w:sz w:val="20"/>
          <w:szCs w:val="20"/>
        </w:rPr>
        <w:t>B</w:t>
      </w:r>
      <w:r w:rsidRPr="00823AF1">
        <w:rPr>
          <w:rFonts w:ascii="Gotham-Black" w:hAnsi="Gotham-Black" w:cs="Gotham-Black"/>
          <w:b/>
          <w:i/>
          <w:color w:val="000000"/>
          <w:sz w:val="20"/>
          <w:szCs w:val="20"/>
        </w:rPr>
        <w:t xml:space="preserve">adminton garçons et filles, </w:t>
      </w:r>
      <w:proofErr w:type="spellStart"/>
      <w:r>
        <w:rPr>
          <w:rFonts w:ascii="Gotham-Black" w:hAnsi="Gotham-Black" w:cs="Gotham-Black"/>
          <w:b/>
          <w:i/>
          <w:color w:val="000000"/>
          <w:sz w:val="20"/>
          <w:szCs w:val="20"/>
        </w:rPr>
        <w:t>F</w:t>
      </w:r>
      <w:r w:rsidRPr="00823AF1">
        <w:rPr>
          <w:rFonts w:ascii="Gotham-Black" w:hAnsi="Gotham-Black" w:cs="Gotham-Black"/>
          <w:b/>
          <w:i/>
          <w:color w:val="000000"/>
          <w:sz w:val="20"/>
          <w:szCs w:val="20"/>
        </w:rPr>
        <w:t>utsal</w:t>
      </w:r>
      <w:proofErr w:type="spellEnd"/>
      <w:r w:rsidRPr="00823AF1">
        <w:rPr>
          <w:rFonts w:ascii="Gotham-Black" w:hAnsi="Gotham-Black" w:cs="Gotham-Black"/>
          <w:b/>
          <w:i/>
          <w:color w:val="000000"/>
          <w:sz w:val="20"/>
          <w:szCs w:val="20"/>
        </w:rPr>
        <w:t xml:space="preserve">, </w:t>
      </w:r>
      <w:proofErr w:type="spellStart"/>
      <w:r>
        <w:rPr>
          <w:rFonts w:ascii="Gotham-Black" w:hAnsi="Gotham-Black" w:cs="Gotham-Black"/>
          <w:b/>
          <w:i/>
          <w:color w:val="000000"/>
          <w:sz w:val="20"/>
          <w:szCs w:val="20"/>
        </w:rPr>
        <w:t>S</w:t>
      </w:r>
      <w:r w:rsidRPr="00823AF1">
        <w:rPr>
          <w:rFonts w:ascii="Gotham-Black" w:hAnsi="Gotham-Black" w:cs="Gotham-Black"/>
          <w:b/>
          <w:i/>
          <w:color w:val="000000"/>
          <w:sz w:val="20"/>
          <w:szCs w:val="20"/>
        </w:rPr>
        <w:t>tep</w:t>
      </w:r>
      <w:proofErr w:type="spellEnd"/>
      <w:r w:rsidRPr="00823AF1">
        <w:rPr>
          <w:rFonts w:ascii="Gotham-Black" w:hAnsi="Gotham-Black" w:cs="Gotham-Black"/>
          <w:b/>
          <w:i/>
          <w:color w:val="000000"/>
          <w:sz w:val="20"/>
          <w:szCs w:val="20"/>
        </w:rPr>
        <w:t> »</w:t>
      </w:r>
      <w:r w:rsidRPr="00D05F0E">
        <w:rPr>
          <w:rFonts w:ascii="Gotham-Black" w:hAnsi="Gotham-Black" w:cs="Gotham-Black"/>
          <w:b/>
          <w:i/>
          <w:color w:val="FF0000"/>
          <w:sz w:val="20"/>
          <w:szCs w:val="20"/>
        </w:rPr>
        <w:t xml:space="preserve"> </w:t>
      </w:r>
      <w:r w:rsidRPr="00344164">
        <w:rPr>
          <w:rFonts w:ascii="Gotham-Black" w:hAnsi="Gotham-Black" w:cs="Gotham-Black"/>
          <w:i/>
          <w:sz w:val="20"/>
          <w:szCs w:val="20"/>
        </w:rPr>
        <w:t>(page 15</w:t>
      </w:r>
      <w:r w:rsidRPr="00344164">
        <w:rPr>
          <w:rFonts w:ascii="Gotham-Black" w:hAnsi="Gotham-Black" w:cs="Gotham-Black"/>
          <w:i/>
          <w:color w:val="000000"/>
          <w:sz w:val="20"/>
          <w:szCs w:val="20"/>
        </w:rPr>
        <w:t xml:space="preserve"> du règlement fédéral)…</w:t>
      </w:r>
    </w:p>
    <w:p w:rsidR="00570904" w:rsidRDefault="00570904" w:rsidP="00570904">
      <w:r w:rsidRPr="00F516EE">
        <w:t xml:space="preserve">Mais </w:t>
      </w:r>
      <w:r w:rsidRPr="00344164">
        <w:t>l’UNSS</w:t>
      </w:r>
      <w:r w:rsidRPr="00344164">
        <w:rPr>
          <w:b/>
        </w:rPr>
        <w:t>,</w:t>
      </w:r>
      <w:r w:rsidRPr="00344164">
        <w:t xml:space="preserve"> et</w:t>
      </w:r>
      <w:r>
        <w:t xml:space="preserve"> c’est tout à son honneur,</w:t>
      </w:r>
      <w:r w:rsidRPr="00F516EE">
        <w:t xml:space="preserve"> </w:t>
      </w:r>
      <w:r>
        <w:t>n’a pas souhaité pour autant fermer l’accès aux championnats </w:t>
      </w:r>
      <w:r w:rsidRPr="00344164">
        <w:t>dit</w:t>
      </w:r>
      <w:r w:rsidRPr="00344164">
        <w:rPr>
          <w:b/>
        </w:rPr>
        <w:t xml:space="preserve">s </w:t>
      </w:r>
      <w:r>
        <w:t>«  traditionnels » aux élèves de LP. « </w:t>
      </w:r>
      <w:r w:rsidRPr="00823AF1">
        <w:rPr>
          <w:b/>
          <w:i/>
        </w:rPr>
        <w:t xml:space="preserve">Dans les autres </w:t>
      </w:r>
      <w:r w:rsidRPr="00344164">
        <w:rPr>
          <w:b/>
          <w:i/>
        </w:rPr>
        <w:t>sports,</w:t>
      </w:r>
      <w:r w:rsidRPr="00823AF1">
        <w:rPr>
          <w:b/>
          <w:i/>
        </w:rPr>
        <w:t xml:space="preserve"> des titres spécifiques LP pourront être décernés dans les Championnats de France </w:t>
      </w:r>
      <w:r w:rsidRPr="00823AF1">
        <w:rPr>
          <w:b/>
          <w:i/>
          <w:u w:val="single"/>
        </w:rPr>
        <w:t>Lycées</w:t>
      </w:r>
      <w:r w:rsidRPr="00823AF1">
        <w:rPr>
          <w:b/>
          <w:i/>
        </w:rPr>
        <w:t> ».</w:t>
      </w:r>
      <w:r w:rsidRPr="00823AF1">
        <w:rPr>
          <w:i/>
        </w:rPr>
        <w:t xml:space="preserve"> </w:t>
      </w:r>
      <w:r w:rsidRPr="00823AF1">
        <w:t xml:space="preserve">D’après le règlement </w:t>
      </w:r>
      <w:r w:rsidRPr="00344164">
        <w:t>fédéral</w:t>
      </w:r>
      <w:r w:rsidRPr="00344164">
        <w:rPr>
          <w:b/>
        </w:rPr>
        <w:t xml:space="preserve">, </w:t>
      </w:r>
      <w:r w:rsidRPr="00344164">
        <w:t>toujours</w:t>
      </w:r>
      <w:r w:rsidRPr="00823AF1">
        <w:t xml:space="preserve"> </w:t>
      </w:r>
      <w:r w:rsidRPr="00344164">
        <w:t>page 15</w:t>
      </w:r>
      <w:r w:rsidRPr="00344164">
        <w:rPr>
          <w:b/>
        </w:rPr>
        <w:t>,</w:t>
      </w:r>
      <w:r w:rsidRPr="00344164">
        <w:t xml:space="preserve"> </w:t>
      </w:r>
      <w:r w:rsidRPr="00823AF1">
        <w:rPr>
          <w:b/>
          <w:i/>
        </w:rPr>
        <w:t xml:space="preserve">« les élèves des sections professionnelles des LPO </w:t>
      </w:r>
      <w:r w:rsidRPr="00823AF1">
        <w:rPr>
          <w:b/>
          <w:i/>
          <w:u w:val="single"/>
        </w:rPr>
        <w:t>seront autorisés</w:t>
      </w:r>
      <w:r w:rsidRPr="00823AF1">
        <w:rPr>
          <w:b/>
          <w:i/>
        </w:rPr>
        <w:t xml:space="preserve"> à participer à ces championnats de France et pourront prétendre à un titre spécifique Lycées Professionnels</w:t>
      </w:r>
      <w:r w:rsidRPr="00823AF1">
        <w:rPr>
          <w:b/>
        </w:rPr>
        <w:t> ».</w:t>
      </w:r>
      <w:r>
        <w:t xml:space="preserve"> </w:t>
      </w:r>
      <w:r w:rsidRPr="00F908BD">
        <w:t>Le vocabulaire utilisé</w:t>
      </w:r>
      <w:r>
        <w:t xml:space="preserve"> (souligné ci- dessus) pose question sur l’équité des formations au lycée…</w:t>
      </w:r>
      <w:r w:rsidRPr="00A340E6">
        <w:t xml:space="preserve"> </w:t>
      </w:r>
      <w:r>
        <w:t>L</w:t>
      </w:r>
      <w:r w:rsidRPr="00F516EE">
        <w:t>es LP ne f</w:t>
      </w:r>
      <w:r>
        <w:t>eraient-ils</w:t>
      </w:r>
      <w:r w:rsidRPr="00F516EE">
        <w:t xml:space="preserve"> pas partie des Lycées ?</w:t>
      </w:r>
    </w:p>
    <w:p w:rsidR="00570904" w:rsidRDefault="00570904" w:rsidP="00570904">
      <w:pPr>
        <w:spacing w:line="276" w:lineRule="auto"/>
      </w:pPr>
    </w:p>
    <w:p w:rsidR="00570904" w:rsidRDefault="00570904" w:rsidP="00570904">
      <w:pPr>
        <w:spacing w:line="276" w:lineRule="auto"/>
      </w:pPr>
      <w:r>
        <w:t xml:space="preserve">L’an </w:t>
      </w:r>
      <w:r w:rsidRPr="00344164">
        <w:t>dernier</w:t>
      </w:r>
      <w:r w:rsidRPr="00344164">
        <w:rPr>
          <w:b/>
        </w:rPr>
        <w:t>,</w:t>
      </w:r>
      <w:r w:rsidRPr="00344164">
        <w:t xml:space="preserve"> le</w:t>
      </w:r>
      <w:r>
        <w:t xml:space="preserve"> LP L. de Vinci à Périgueux (24) a eu le bonheur pour la première fois, de disputer deux Championnats de France en Boxe Assaut et Pétanque en équipe établissement.</w:t>
      </w:r>
    </w:p>
    <w:p w:rsidR="00570904" w:rsidRPr="000D6220" w:rsidRDefault="00570904" w:rsidP="00570904">
      <w:pPr>
        <w:spacing w:line="276" w:lineRule="auto"/>
        <w:rPr>
          <w:b/>
        </w:rPr>
      </w:pPr>
      <w:r w:rsidRPr="00AF1E1A">
        <w:rPr>
          <w:b/>
        </w:rPr>
        <w:t>En 2016-</w:t>
      </w:r>
      <w:r w:rsidRPr="00344164">
        <w:rPr>
          <w:b/>
        </w:rPr>
        <w:t xml:space="preserve">2017, les fiches </w:t>
      </w:r>
      <w:proofErr w:type="gramStart"/>
      <w:r w:rsidRPr="00344164">
        <w:rPr>
          <w:b/>
        </w:rPr>
        <w:t>sport</w:t>
      </w:r>
      <w:r>
        <w:rPr>
          <w:b/>
        </w:rPr>
        <w:t>s</w:t>
      </w:r>
      <w:proofErr w:type="gramEnd"/>
      <w:r w:rsidRPr="00344164">
        <w:rPr>
          <w:b/>
        </w:rPr>
        <w:t xml:space="preserve"> pétanque et boxe</w:t>
      </w:r>
      <w:r>
        <w:rPr>
          <w:b/>
        </w:rPr>
        <w:t>,</w:t>
      </w:r>
      <w:r w:rsidRPr="00AF1E1A">
        <w:rPr>
          <w:b/>
        </w:rPr>
        <w:t xml:space="preserve"> </w:t>
      </w:r>
      <w:r w:rsidRPr="00344164">
        <w:rPr>
          <w:b/>
        </w:rPr>
        <w:t>annonçaient</w:t>
      </w:r>
      <w:r>
        <w:rPr>
          <w:b/>
        </w:rPr>
        <w:t xml:space="preserve"> </w:t>
      </w:r>
      <w:r w:rsidRPr="00AF1E1A">
        <w:rPr>
          <w:b/>
        </w:rPr>
        <w:t>page 7</w:t>
      </w:r>
      <w:r w:rsidRPr="00344164">
        <w:rPr>
          <w:b/>
        </w:rPr>
        <w:t>:</w:t>
      </w:r>
    </w:p>
    <w:p w:rsidR="00570904" w:rsidRPr="00AF1E1A" w:rsidRDefault="00570904" w:rsidP="00570904">
      <w:pPr>
        <w:spacing w:line="276" w:lineRule="auto"/>
        <w:jc w:val="both"/>
      </w:pPr>
      <w:r w:rsidRPr="00AF1E1A">
        <w:t>-</w:t>
      </w:r>
      <w:r w:rsidRPr="00AF1E1A">
        <w:rPr>
          <w:b/>
        </w:rPr>
        <w:t xml:space="preserve"> </w:t>
      </w:r>
      <w:r w:rsidRPr="00AF1E1A">
        <w:t>les qualifications sont communes aux lycées et aux LP,</w:t>
      </w:r>
    </w:p>
    <w:p w:rsidR="00570904" w:rsidRPr="00AF1E1A" w:rsidRDefault="00570904" w:rsidP="00570904">
      <w:pPr>
        <w:spacing w:line="276" w:lineRule="auto"/>
        <w:jc w:val="both"/>
      </w:pPr>
      <w:r w:rsidRPr="00AF1E1A">
        <w:t>- la formule de compétition classe ensemble les équipes de lycées et de LP,</w:t>
      </w:r>
    </w:p>
    <w:p w:rsidR="00570904" w:rsidRDefault="00570904" w:rsidP="00570904">
      <w:r>
        <w:t xml:space="preserve">- </w:t>
      </w:r>
      <w:r w:rsidRPr="00AF1E1A">
        <w:t xml:space="preserve">lors du classement « scratch » des </w:t>
      </w:r>
      <w:r w:rsidRPr="00AF1E1A">
        <w:rPr>
          <w:b/>
        </w:rPr>
        <w:t>lycées,</w:t>
      </w:r>
      <w:r w:rsidRPr="00AF1E1A">
        <w:t xml:space="preserve"> des podiums seront organisés pour les LP quel que soit leur classement.</w:t>
      </w:r>
    </w:p>
    <w:p w:rsidR="00570904" w:rsidRDefault="00570904" w:rsidP="00570904">
      <w:pPr>
        <w:ind w:firstLine="708"/>
      </w:pPr>
    </w:p>
    <w:p w:rsidR="00570904" w:rsidRDefault="00570904" w:rsidP="00570904">
      <w:r>
        <w:t xml:space="preserve">Au CF de Boxe 2016, le podium « Lycées » </w:t>
      </w:r>
      <w:r w:rsidRPr="00344164">
        <w:t>intègre</w:t>
      </w:r>
      <w:r>
        <w:t xml:space="preserve"> le Lycée Professionnel L. de Vinci </w:t>
      </w:r>
      <w:r w:rsidRPr="00344164">
        <w:t>qui</w:t>
      </w:r>
      <w:r w:rsidRPr="00344164">
        <w:rPr>
          <w:b/>
        </w:rPr>
        <w:t xml:space="preserve">, </w:t>
      </w:r>
      <w:r w:rsidRPr="00344164">
        <w:t>terminant à la deuxième place</w:t>
      </w:r>
      <w:r w:rsidRPr="00344164">
        <w:rPr>
          <w:b/>
        </w:rPr>
        <w:t xml:space="preserve">, </w:t>
      </w:r>
      <w:r w:rsidRPr="00344164">
        <w:t>obtient le titre de Vice Champion de France et en même temps</w:t>
      </w:r>
      <w:r>
        <w:t xml:space="preserve"> celui de Champion de France LP. </w:t>
      </w:r>
    </w:p>
    <w:p w:rsidR="00570904" w:rsidRDefault="00570904" w:rsidP="00570904">
      <w:r>
        <w:t xml:space="preserve">Au CF de Pétanque 2016, le podium « Lycées » </w:t>
      </w:r>
      <w:r w:rsidRPr="00344164">
        <w:t>exclue</w:t>
      </w:r>
      <w:r>
        <w:t xml:space="preserve"> le LP qui </w:t>
      </w:r>
      <w:r w:rsidRPr="00344164">
        <w:t>termine</w:t>
      </w:r>
      <w:r>
        <w:t xml:space="preserve"> premier du </w:t>
      </w:r>
      <w:r w:rsidRPr="00344164">
        <w:t>CF</w:t>
      </w:r>
      <w:r w:rsidRPr="00344164">
        <w:rPr>
          <w:b/>
        </w:rPr>
        <w:t>.</w:t>
      </w:r>
      <w:r w:rsidRPr="00344164">
        <w:t xml:space="preserve"> Ce titre</w:t>
      </w:r>
      <w:r>
        <w:t xml:space="preserve"> </w:t>
      </w:r>
      <w:r w:rsidRPr="00344164">
        <w:t>est alors</w:t>
      </w:r>
      <w:r>
        <w:t xml:space="preserve"> remis à l’équipe battu</w:t>
      </w:r>
      <w:r w:rsidRPr="00344164">
        <w:t xml:space="preserve">e </w:t>
      </w:r>
      <w:r>
        <w:t xml:space="preserve">en finale, oui vous avez bien lu, et </w:t>
      </w:r>
      <w:r w:rsidRPr="00344164">
        <w:t>le LP obtient alors seulement le</w:t>
      </w:r>
      <w:r>
        <w:t xml:space="preserve"> titre de Champion de France LP.</w:t>
      </w:r>
    </w:p>
    <w:p w:rsidR="00570904" w:rsidRDefault="00570904" w:rsidP="00570904"/>
    <w:p w:rsidR="00570904" w:rsidRDefault="00570904" w:rsidP="00570904">
      <w:r>
        <w:t xml:space="preserve">Deux fonctionnements protocolaires pour les mêmes recommandations des fiches </w:t>
      </w:r>
      <w:proofErr w:type="gramStart"/>
      <w:r>
        <w:t>sports</w:t>
      </w:r>
      <w:proofErr w:type="gramEnd"/>
      <w:r>
        <w:t> !</w:t>
      </w:r>
    </w:p>
    <w:p w:rsidR="00570904" w:rsidRPr="00F516EE" w:rsidRDefault="00570904" w:rsidP="00570904"/>
    <w:p w:rsidR="00570904" w:rsidRPr="00A041D3" w:rsidRDefault="00570904" w:rsidP="00570904">
      <w:pPr>
        <w:spacing w:line="276" w:lineRule="auto"/>
      </w:pPr>
      <w:r w:rsidRPr="00A041D3">
        <w:t xml:space="preserve">Suite </w:t>
      </w:r>
      <w:r>
        <w:t xml:space="preserve">aux réclamations portées </w:t>
      </w:r>
      <w:r w:rsidRPr="00A041D3">
        <w:t>l’an dernier</w:t>
      </w:r>
      <w:r>
        <w:t xml:space="preserve"> sur les fonctionnements différents de certains CF</w:t>
      </w:r>
      <w:r w:rsidRPr="00A041D3">
        <w:t>,</w:t>
      </w:r>
      <w:r>
        <w:t xml:space="preserve"> et aux injustices subies par les élèves,</w:t>
      </w:r>
      <w:r w:rsidRPr="00A041D3">
        <w:t xml:space="preserve"> il semblerait que toutes les fiches sport 2017-2018 (OPUSS) aient été modifiées et ne respectent plus le classement scratch pour décerner les titres. </w:t>
      </w:r>
    </w:p>
    <w:p w:rsidR="00570904" w:rsidRDefault="00570904" w:rsidP="00570904">
      <w:pPr>
        <w:spacing w:line="276" w:lineRule="auto"/>
        <w:rPr>
          <w:b/>
          <w:color w:val="FF0000"/>
        </w:rPr>
      </w:pPr>
      <w:r w:rsidRPr="001A71FC">
        <w:rPr>
          <w:b/>
          <w:color w:val="FF0000"/>
        </w:rPr>
        <w:t xml:space="preserve"> </w:t>
      </w:r>
    </w:p>
    <w:p w:rsidR="00570904" w:rsidRDefault="00570904" w:rsidP="00570904">
      <w:pPr>
        <w:spacing w:line="276" w:lineRule="auto"/>
        <w:rPr>
          <w:b/>
        </w:rPr>
      </w:pPr>
      <w:r w:rsidRPr="00FC09DB">
        <w:rPr>
          <w:b/>
        </w:rPr>
        <w:t>En 2017, les fiches sport</w:t>
      </w:r>
      <w:r>
        <w:rPr>
          <w:b/>
        </w:rPr>
        <w:t xml:space="preserve"> </w:t>
      </w:r>
      <w:r w:rsidRPr="00833F37">
        <w:rPr>
          <w:b/>
        </w:rPr>
        <w:t>disent</w:t>
      </w:r>
      <w:r>
        <w:rPr>
          <w:b/>
        </w:rPr>
        <w:t xml:space="preserve"> à présent page 6 :</w:t>
      </w:r>
    </w:p>
    <w:p w:rsidR="00570904" w:rsidRPr="00A041D3" w:rsidRDefault="00570904" w:rsidP="00570904">
      <w:pPr>
        <w:spacing w:line="276" w:lineRule="auto"/>
        <w:rPr>
          <w:i/>
          <w:u w:val="single"/>
        </w:rPr>
      </w:pPr>
      <w:r w:rsidRPr="00A041D3">
        <w:rPr>
          <w:i/>
          <w:u w:val="single"/>
        </w:rPr>
        <w:t>Modalités</w:t>
      </w:r>
    </w:p>
    <w:p w:rsidR="00570904" w:rsidRPr="00A041D3" w:rsidRDefault="00570904" w:rsidP="00570904">
      <w:pPr>
        <w:numPr>
          <w:ilvl w:val="0"/>
          <w:numId w:val="1"/>
        </w:numPr>
        <w:spacing w:line="276" w:lineRule="auto"/>
        <w:ind w:left="786"/>
        <w:jc w:val="both"/>
        <w:rPr>
          <w:rFonts w:ascii="Verdana" w:hAnsi="Verdana"/>
          <w:i/>
          <w:sz w:val="18"/>
          <w:szCs w:val="18"/>
        </w:rPr>
      </w:pPr>
      <w:r w:rsidRPr="00A041D3">
        <w:rPr>
          <w:rFonts w:ascii="Verdana" w:hAnsi="Verdana"/>
          <w:i/>
          <w:sz w:val="18"/>
          <w:szCs w:val="18"/>
        </w:rPr>
        <w:t>pas de qualification spécifique,</w:t>
      </w:r>
    </w:p>
    <w:p w:rsidR="00570904" w:rsidRPr="00A041D3" w:rsidRDefault="00570904" w:rsidP="00570904">
      <w:pPr>
        <w:numPr>
          <w:ilvl w:val="0"/>
          <w:numId w:val="1"/>
        </w:numPr>
        <w:spacing w:line="276" w:lineRule="auto"/>
        <w:ind w:left="786"/>
        <w:jc w:val="both"/>
        <w:rPr>
          <w:rFonts w:ascii="Verdana" w:hAnsi="Verdana"/>
          <w:i/>
          <w:sz w:val="18"/>
          <w:szCs w:val="18"/>
        </w:rPr>
      </w:pPr>
      <w:r w:rsidRPr="00A041D3">
        <w:rPr>
          <w:rFonts w:ascii="Verdana" w:hAnsi="Verdana"/>
          <w:i/>
          <w:sz w:val="18"/>
          <w:szCs w:val="18"/>
        </w:rPr>
        <w:t>un classement général commun est établi,</w:t>
      </w:r>
    </w:p>
    <w:p w:rsidR="00570904" w:rsidRPr="00A041D3" w:rsidRDefault="00570904" w:rsidP="00570904">
      <w:pPr>
        <w:numPr>
          <w:ilvl w:val="0"/>
          <w:numId w:val="1"/>
        </w:numPr>
        <w:spacing w:line="276" w:lineRule="auto"/>
        <w:ind w:left="786"/>
        <w:jc w:val="both"/>
        <w:rPr>
          <w:rFonts w:ascii="Verdana" w:hAnsi="Verdana"/>
          <w:i/>
          <w:sz w:val="18"/>
          <w:szCs w:val="18"/>
        </w:rPr>
      </w:pPr>
      <w:r w:rsidRPr="00A041D3">
        <w:rPr>
          <w:rFonts w:ascii="Verdana" w:hAnsi="Verdana"/>
          <w:i/>
          <w:sz w:val="18"/>
          <w:szCs w:val="18"/>
        </w:rPr>
        <w:t>parmi les LP classés, déterminer les 3 premiers pour décerner les titres de Champion de France des LP, 2</w:t>
      </w:r>
      <w:r w:rsidRPr="00A041D3">
        <w:rPr>
          <w:rFonts w:ascii="Verdana" w:hAnsi="Verdana"/>
          <w:i/>
          <w:sz w:val="18"/>
          <w:szCs w:val="18"/>
          <w:vertAlign w:val="superscript"/>
        </w:rPr>
        <w:t>ème</w:t>
      </w:r>
      <w:r w:rsidRPr="00A041D3">
        <w:rPr>
          <w:rFonts w:ascii="Verdana" w:hAnsi="Verdana"/>
          <w:i/>
          <w:sz w:val="18"/>
          <w:szCs w:val="18"/>
        </w:rPr>
        <w:t>, 3</w:t>
      </w:r>
      <w:r w:rsidRPr="00A041D3">
        <w:rPr>
          <w:rFonts w:ascii="Verdana" w:hAnsi="Verdana"/>
          <w:i/>
          <w:sz w:val="18"/>
          <w:szCs w:val="18"/>
          <w:vertAlign w:val="superscript"/>
        </w:rPr>
        <w:t>ème</w:t>
      </w:r>
      <w:r w:rsidRPr="00A041D3">
        <w:rPr>
          <w:rFonts w:ascii="Verdana" w:hAnsi="Verdana"/>
          <w:i/>
          <w:sz w:val="18"/>
          <w:szCs w:val="18"/>
        </w:rPr>
        <w:t>,</w:t>
      </w:r>
    </w:p>
    <w:p w:rsidR="00570904" w:rsidRPr="00A041D3" w:rsidRDefault="00570904" w:rsidP="00570904">
      <w:pPr>
        <w:numPr>
          <w:ilvl w:val="0"/>
          <w:numId w:val="1"/>
        </w:numPr>
        <w:spacing w:line="276" w:lineRule="auto"/>
        <w:ind w:left="786"/>
        <w:jc w:val="both"/>
        <w:rPr>
          <w:rFonts w:ascii="Verdana" w:hAnsi="Verdana"/>
          <w:i/>
          <w:sz w:val="18"/>
          <w:szCs w:val="18"/>
        </w:rPr>
      </w:pPr>
      <w:r w:rsidRPr="00A340E6">
        <w:rPr>
          <w:rFonts w:ascii="Verdana" w:hAnsi="Verdana"/>
          <w:i/>
          <w:sz w:val="18"/>
          <w:szCs w:val="18"/>
          <w:u w:val="single"/>
        </w:rPr>
        <w:t>reclasser les Lycées en conséquence</w:t>
      </w:r>
      <w:r>
        <w:rPr>
          <w:rFonts w:ascii="Verdana" w:hAnsi="Verdana"/>
          <w:i/>
          <w:sz w:val="18"/>
          <w:szCs w:val="18"/>
          <w:u w:val="single"/>
        </w:rPr>
        <w:t>.</w:t>
      </w:r>
      <w:r w:rsidRPr="000D6220">
        <w:rPr>
          <w:rFonts w:ascii="Verdana" w:hAnsi="Verdana"/>
          <w:i/>
          <w:sz w:val="18"/>
          <w:szCs w:val="18"/>
        </w:rPr>
        <w:t xml:space="preserve"> </w:t>
      </w:r>
      <w:r w:rsidRPr="00A340E6">
        <w:rPr>
          <w:rFonts w:ascii="Verdana" w:hAnsi="Verdana"/>
          <w:b/>
          <w:i/>
          <w:sz w:val="18"/>
          <w:szCs w:val="18"/>
        </w:rPr>
        <w:t>(</w:t>
      </w:r>
      <w:r>
        <w:rPr>
          <w:rFonts w:ascii="Verdana" w:hAnsi="Verdana"/>
          <w:b/>
          <w:i/>
          <w:sz w:val="18"/>
          <w:szCs w:val="18"/>
        </w:rPr>
        <w:t>A</w:t>
      </w:r>
      <w:r w:rsidRPr="00A340E6">
        <w:rPr>
          <w:rFonts w:ascii="Verdana" w:hAnsi="Verdana"/>
          <w:b/>
          <w:sz w:val="18"/>
          <w:szCs w:val="18"/>
        </w:rPr>
        <w:t xml:space="preserve">ssez surprenant encore comme procédé, </w:t>
      </w:r>
      <w:r>
        <w:rPr>
          <w:rFonts w:ascii="Verdana" w:hAnsi="Verdana"/>
          <w:b/>
          <w:sz w:val="18"/>
          <w:szCs w:val="18"/>
        </w:rPr>
        <w:t>vous ne trouvez pas</w:t>
      </w:r>
      <w:r w:rsidRPr="00A340E6">
        <w:rPr>
          <w:rFonts w:ascii="Verdana" w:hAnsi="Verdana"/>
          <w:b/>
          <w:sz w:val="18"/>
          <w:szCs w:val="18"/>
        </w:rPr>
        <w:t> ?)</w:t>
      </w:r>
      <w:r>
        <w:rPr>
          <w:rFonts w:ascii="Verdana" w:hAnsi="Verdana"/>
          <w:i/>
          <w:sz w:val="18"/>
          <w:szCs w:val="18"/>
        </w:rPr>
        <w:t xml:space="preserve"> </w:t>
      </w:r>
    </w:p>
    <w:p w:rsidR="00570904" w:rsidRDefault="00570904" w:rsidP="00570904">
      <w:pPr>
        <w:spacing w:line="276" w:lineRule="auto"/>
        <w:rPr>
          <w:i/>
          <w:kern w:val="24"/>
          <w:u w:val="single"/>
        </w:rPr>
      </w:pPr>
    </w:p>
    <w:p w:rsidR="00570904" w:rsidRDefault="00570904" w:rsidP="00570904">
      <w:pPr>
        <w:spacing w:line="276" w:lineRule="auto"/>
        <w:rPr>
          <w:i/>
          <w:kern w:val="24"/>
          <w:u w:val="single"/>
        </w:rPr>
      </w:pPr>
    </w:p>
    <w:p w:rsidR="00570904" w:rsidRDefault="00570904" w:rsidP="00570904">
      <w:pPr>
        <w:spacing w:line="276" w:lineRule="auto"/>
        <w:rPr>
          <w:i/>
          <w:kern w:val="24"/>
          <w:u w:val="single"/>
        </w:rPr>
      </w:pPr>
    </w:p>
    <w:p w:rsidR="00570904" w:rsidRDefault="00570904" w:rsidP="00570904">
      <w:pPr>
        <w:spacing w:line="276" w:lineRule="auto"/>
        <w:rPr>
          <w:i/>
          <w:kern w:val="24"/>
          <w:u w:val="single"/>
        </w:rPr>
      </w:pPr>
    </w:p>
    <w:p w:rsidR="00570904" w:rsidRPr="0082024A" w:rsidRDefault="00570904" w:rsidP="00570904">
      <w:pPr>
        <w:spacing w:line="276" w:lineRule="auto"/>
        <w:rPr>
          <w:rFonts w:ascii="Verdana" w:hAnsi="Verdana"/>
          <w:color w:val="FF0000"/>
          <w:sz w:val="18"/>
          <w:szCs w:val="18"/>
        </w:rPr>
      </w:pPr>
      <w:r w:rsidRPr="00A041D3">
        <w:rPr>
          <w:i/>
          <w:kern w:val="24"/>
          <w:u w:val="single"/>
        </w:rPr>
        <w:lastRenderedPageBreak/>
        <w:t>Exemple</w:t>
      </w:r>
      <w:r w:rsidRPr="0082024A">
        <w:rPr>
          <w:i/>
          <w:kern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0A0"/>
      </w:tblPr>
      <w:tblGrid>
        <w:gridCol w:w="2660"/>
        <w:gridCol w:w="2551"/>
        <w:gridCol w:w="2268"/>
      </w:tblGrid>
      <w:tr w:rsidR="00570904" w:rsidRPr="00A041D3" w:rsidTr="0069418D">
        <w:tc>
          <w:tcPr>
            <w:tcW w:w="2660" w:type="dxa"/>
            <w:vMerge w:val="restart"/>
            <w:vAlign w:val="center"/>
          </w:tcPr>
          <w:p w:rsidR="00570904" w:rsidRPr="00077EEA" w:rsidRDefault="00570904" w:rsidP="0069418D">
            <w:pPr>
              <w:spacing w:line="276" w:lineRule="auto"/>
              <w:rPr>
                <w:rFonts w:ascii="Verdana" w:hAnsi="Verdana"/>
                <w:i/>
                <w:sz w:val="18"/>
                <w:szCs w:val="18"/>
              </w:rPr>
            </w:pPr>
            <w:r w:rsidRPr="00077EEA">
              <w:rPr>
                <w:rFonts w:ascii="Verdana" w:hAnsi="Verdana"/>
                <w:i/>
                <w:sz w:val="18"/>
                <w:szCs w:val="18"/>
              </w:rPr>
              <w:t>Classement général</w:t>
            </w:r>
          </w:p>
        </w:tc>
        <w:tc>
          <w:tcPr>
            <w:tcW w:w="4819" w:type="dxa"/>
            <w:gridSpan w:val="2"/>
            <w:tcBorders>
              <w:bottom w:val="single" w:sz="4" w:space="0" w:color="auto"/>
            </w:tcBorders>
          </w:tcPr>
          <w:p w:rsidR="00570904" w:rsidRPr="00077EEA" w:rsidRDefault="00570904" w:rsidP="0069418D">
            <w:pPr>
              <w:spacing w:line="276" w:lineRule="auto"/>
              <w:jc w:val="both"/>
              <w:rPr>
                <w:rFonts w:ascii="Verdana" w:hAnsi="Verdana"/>
                <w:i/>
                <w:sz w:val="18"/>
                <w:szCs w:val="18"/>
              </w:rPr>
            </w:pPr>
            <w:r>
              <w:rPr>
                <w:rFonts w:ascii="Verdana" w:hAnsi="Verdana"/>
                <w:i/>
                <w:sz w:val="18"/>
                <w:szCs w:val="18"/>
              </w:rPr>
              <w:t>S</w:t>
            </w:r>
            <w:r w:rsidRPr="00077EEA">
              <w:rPr>
                <w:rFonts w:ascii="Verdana" w:hAnsi="Verdana"/>
                <w:i/>
                <w:sz w:val="18"/>
                <w:szCs w:val="18"/>
              </w:rPr>
              <w:t>ont prononcés lors du protocole</w:t>
            </w:r>
          </w:p>
        </w:tc>
      </w:tr>
      <w:tr w:rsidR="00570904" w:rsidRPr="00A041D3" w:rsidTr="0069418D">
        <w:tc>
          <w:tcPr>
            <w:tcW w:w="2660" w:type="dxa"/>
            <w:vMerge/>
          </w:tcPr>
          <w:p w:rsidR="00570904" w:rsidRPr="00077EEA" w:rsidRDefault="00570904" w:rsidP="0069418D">
            <w:pPr>
              <w:spacing w:line="276" w:lineRule="auto"/>
              <w:jc w:val="both"/>
              <w:rPr>
                <w:rFonts w:ascii="Verdana" w:hAnsi="Verdana"/>
                <w:i/>
                <w:sz w:val="18"/>
                <w:szCs w:val="18"/>
              </w:rPr>
            </w:pPr>
          </w:p>
        </w:tc>
        <w:tc>
          <w:tcPr>
            <w:tcW w:w="2551" w:type="dxa"/>
            <w:tcBorders>
              <w:right w:val="single" w:sz="4" w:space="0" w:color="auto"/>
            </w:tcBorders>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CF Lycée</w:t>
            </w:r>
          </w:p>
        </w:tc>
        <w:tc>
          <w:tcPr>
            <w:tcW w:w="2268" w:type="dxa"/>
            <w:tcBorders>
              <w:left w:val="single" w:sz="4" w:space="0" w:color="auto"/>
            </w:tcBorders>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CF LP</w:t>
            </w:r>
          </w:p>
        </w:tc>
      </w:tr>
      <w:tr w:rsidR="00570904" w:rsidRPr="00A041D3" w:rsidTr="0069418D">
        <w:tc>
          <w:tcPr>
            <w:tcW w:w="2660" w:type="dxa"/>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1</w:t>
            </w:r>
            <w:r w:rsidRPr="00077EEA">
              <w:rPr>
                <w:rFonts w:ascii="Verdana" w:hAnsi="Verdana"/>
                <w:i/>
                <w:sz w:val="18"/>
                <w:szCs w:val="18"/>
                <w:vertAlign w:val="superscript"/>
              </w:rPr>
              <w:t>er</w:t>
            </w:r>
            <w:r w:rsidRPr="00077EEA">
              <w:rPr>
                <w:rFonts w:ascii="Verdana" w:hAnsi="Verdana"/>
                <w:i/>
                <w:sz w:val="18"/>
                <w:szCs w:val="18"/>
              </w:rPr>
              <w:t xml:space="preserve"> </w:t>
            </w:r>
            <w:r w:rsidRPr="00077EEA">
              <w:rPr>
                <w:rFonts w:ascii="Verdana" w:hAnsi="Verdana"/>
                <w:i/>
                <w:sz w:val="18"/>
                <w:szCs w:val="18"/>
              </w:rPr>
              <w:tab/>
              <w:t xml:space="preserve">LP 1                              </w:t>
            </w:r>
          </w:p>
        </w:tc>
        <w:tc>
          <w:tcPr>
            <w:tcW w:w="2551" w:type="dxa"/>
            <w:tcBorders>
              <w:right w:val="single" w:sz="4" w:space="0" w:color="auto"/>
            </w:tcBorders>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1</w:t>
            </w:r>
            <w:r w:rsidRPr="00077EEA">
              <w:rPr>
                <w:rFonts w:ascii="Verdana" w:hAnsi="Verdana"/>
                <w:i/>
                <w:sz w:val="18"/>
                <w:szCs w:val="18"/>
                <w:vertAlign w:val="superscript"/>
              </w:rPr>
              <w:t>er</w:t>
            </w:r>
            <w:r w:rsidRPr="00077EEA">
              <w:rPr>
                <w:rFonts w:ascii="Verdana" w:hAnsi="Verdana"/>
                <w:i/>
                <w:sz w:val="18"/>
                <w:szCs w:val="18"/>
              </w:rPr>
              <w:t xml:space="preserve"> </w:t>
            </w:r>
            <w:r w:rsidRPr="00077EEA">
              <w:rPr>
                <w:rFonts w:ascii="Verdana" w:hAnsi="Verdana"/>
                <w:i/>
                <w:sz w:val="18"/>
                <w:szCs w:val="18"/>
              </w:rPr>
              <w:tab/>
              <w:t>Lycée A</w:t>
            </w:r>
          </w:p>
        </w:tc>
        <w:tc>
          <w:tcPr>
            <w:tcW w:w="2268" w:type="dxa"/>
            <w:tcBorders>
              <w:left w:val="single" w:sz="4" w:space="0" w:color="auto"/>
            </w:tcBorders>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1</w:t>
            </w:r>
            <w:r w:rsidRPr="00077EEA">
              <w:rPr>
                <w:rFonts w:ascii="Verdana" w:hAnsi="Verdana"/>
                <w:i/>
                <w:sz w:val="18"/>
                <w:szCs w:val="18"/>
                <w:vertAlign w:val="superscript"/>
              </w:rPr>
              <w:t>er</w:t>
            </w:r>
            <w:r w:rsidRPr="00077EEA">
              <w:rPr>
                <w:rFonts w:ascii="Verdana" w:hAnsi="Verdana"/>
                <w:i/>
                <w:sz w:val="18"/>
                <w:szCs w:val="18"/>
              </w:rPr>
              <w:t xml:space="preserve"> </w:t>
            </w:r>
            <w:r w:rsidRPr="00077EEA">
              <w:rPr>
                <w:rFonts w:ascii="Verdana" w:hAnsi="Verdana"/>
                <w:i/>
                <w:sz w:val="18"/>
                <w:szCs w:val="18"/>
              </w:rPr>
              <w:tab/>
              <w:t>LP 1</w:t>
            </w:r>
          </w:p>
        </w:tc>
      </w:tr>
      <w:tr w:rsidR="00570904" w:rsidRPr="00A041D3" w:rsidTr="0069418D">
        <w:tc>
          <w:tcPr>
            <w:tcW w:w="2660" w:type="dxa"/>
          </w:tcPr>
          <w:p w:rsidR="00570904" w:rsidRPr="00077EEA" w:rsidRDefault="00570904" w:rsidP="0069418D">
            <w:pPr>
              <w:spacing w:line="276" w:lineRule="auto"/>
              <w:rPr>
                <w:rFonts w:ascii="Verdana" w:hAnsi="Verdana"/>
                <w:i/>
                <w:sz w:val="18"/>
                <w:szCs w:val="18"/>
              </w:rPr>
            </w:pPr>
            <w:r w:rsidRPr="00077EEA">
              <w:rPr>
                <w:rFonts w:ascii="Verdana" w:hAnsi="Verdana"/>
                <w:i/>
                <w:sz w:val="18"/>
                <w:szCs w:val="18"/>
                <w:vertAlign w:val="superscript"/>
              </w:rPr>
              <w:t>2ème</w:t>
            </w:r>
            <w:r w:rsidRPr="00077EEA">
              <w:rPr>
                <w:rFonts w:ascii="Verdana" w:hAnsi="Verdana"/>
                <w:i/>
                <w:sz w:val="18"/>
                <w:szCs w:val="18"/>
              </w:rPr>
              <w:tab/>
              <w:t xml:space="preserve">Lycée A                                         </w:t>
            </w:r>
          </w:p>
          <w:p w:rsidR="00570904" w:rsidRPr="00077EEA" w:rsidRDefault="00570904" w:rsidP="0069418D">
            <w:pPr>
              <w:spacing w:line="276" w:lineRule="auto"/>
              <w:jc w:val="both"/>
              <w:rPr>
                <w:rFonts w:ascii="Verdana" w:hAnsi="Verdana"/>
                <w:i/>
                <w:sz w:val="18"/>
                <w:szCs w:val="18"/>
              </w:rPr>
            </w:pPr>
          </w:p>
        </w:tc>
        <w:tc>
          <w:tcPr>
            <w:tcW w:w="2551" w:type="dxa"/>
            <w:tcBorders>
              <w:right w:val="single" w:sz="4" w:space="0" w:color="auto"/>
            </w:tcBorders>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2</w:t>
            </w:r>
            <w:r w:rsidRPr="00077EEA">
              <w:rPr>
                <w:rFonts w:ascii="Verdana" w:hAnsi="Verdana"/>
                <w:i/>
                <w:sz w:val="18"/>
                <w:szCs w:val="18"/>
                <w:vertAlign w:val="superscript"/>
              </w:rPr>
              <w:t>ème</w:t>
            </w:r>
            <w:r w:rsidRPr="00077EEA">
              <w:rPr>
                <w:rFonts w:ascii="Verdana" w:hAnsi="Verdana"/>
                <w:i/>
                <w:sz w:val="18"/>
                <w:szCs w:val="18"/>
              </w:rPr>
              <w:tab/>
              <w:t>Lycée B</w:t>
            </w:r>
          </w:p>
        </w:tc>
        <w:tc>
          <w:tcPr>
            <w:tcW w:w="2268" w:type="dxa"/>
            <w:tcBorders>
              <w:left w:val="single" w:sz="4" w:space="0" w:color="auto"/>
            </w:tcBorders>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2</w:t>
            </w:r>
            <w:r w:rsidRPr="00077EEA">
              <w:rPr>
                <w:rFonts w:ascii="Verdana" w:hAnsi="Verdana"/>
                <w:i/>
                <w:sz w:val="18"/>
                <w:szCs w:val="18"/>
                <w:vertAlign w:val="superscript"/>
              </w:rPr>
              <w:t>ème</w:t>
            </w:r>
            <w:r w:rsidRPr="00077EEA">
              <w:rPr>
                <w:rFonts w:ascii="Verdana" w:hAnsi="Verdana"/>
                <w:i/>
                <w:sz w:val="18"/>
                <w:szCs w:val="18"/>
              </w:rPr>
              <w:t xml:space="preserve">     LP2</w:t>
            </w:r>
          </w:p>
        </w:tc>
      </w:tr>
      <w:tr w:rsidR="00570904" w:rsidRPr="00A041D3" w:rsidTr="0069418D">
        <w:trPr>
          <w:trHeight w:val="308"/>
        </w:trPr>
        <w:tc>
          <w:tcPr>
            <w:tcW w:w="2660" w:type="dxa"/>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3</w:t>
            </w:r>
            <w:r w:rsidRPr="00077EEA">
              <w:rPr>
                <w:rFonts w:ascii="Verdana" w:hAnsi="Verdana"/>
                <w:i/>
                <w:sz w:val="18"/>
                <w:szCs w:val="18"/>
                <w:vertAlign w:val="superscript"/>
              </w:rPr>
              <w:t>ème</w:t>
            </w:r>
            <w:r w:rsidRPr="00077EEA">
              <w:rPr>
                <w:rFonts w:ascii="Verdana" w:hAnsi="Verdana"/>
                <w:i/>
                <w:sz w:val="18"/>
                <w:szCs w:val="18"/>
              </w:rPr>
              <w:t xml:space="preserve"> </w:t>
            </w:r>
            <w:r w:rsidRPr="00077EEA">
              <w:rPr>
                <w:rFonts w:ascii="Verdana" w:hAnsi="Verdana"/>
                <w:i/>
                <w:sz w:val="18"/>
                <w:szCs w:val="18"/>
              </w:rPr>
              <w:tab/>
              <w:t xml:space="preserve">Lycée B                        </w:t>
            </w:r>
          </w:p>
          <w:p w:rsidR="00570904" w:rsidRPr="00077EEA" w:rsidRDefault="00570904" w:rsidP="0069418D">
            <w:pPr>
              <w:spacing w:line="276" w:lineRule="auto"/>
              <w:jc w:val="both"/>
              <w:rPr>
                <w:rFonts w:ascii="Verdana" w:hAnsi="Verdana"/>
                <w:i/>
                <w:sz w:val="18"/>
                <w:szCs w:val="18"/>
              </w:rPr>
            </w:pPr>
          </w:p>
        </w:tc>
        <w:tc>
          <w:tcPr>
            <w:tcW w:w="2551" w:type="dxa"/>
            <w:tcBorders>
              <w:right w:val="single" w:sz="4" w:space="0" w:color="auto"/>
            </w:tcBorders>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3</w:t>
            </w:r>
            <w:r w:rsidRPr="00077EEA">
              <w:rPr>
                <w:rFonts w:ascii="Verdana" w:hAnsi="Verdana"/>
                <w:i/>
                <w:sz w:val="18"/>
                <w:szCs w:val="18"/>
                <w:vertAlign w:val="superscript"/>
              </w:rPr>
              <w:t>ème</w:t>
            </w:r>
            <w:r w:rsidRPr="00077EEA">
              <w:rPr>
                <w:rFonts w:ascii="Verdana" w:hAnsi="Verdana"/>
                <w:i/>
                <w:sz w:val="18"/>
                <w:szCs w:val="18"/>
              </w:rPr>
              <w:t xml:space="preserve">   Lycée C</w:t>
            </w:r>
          </w:p>
        </w:tc>
        <w:tc>
          <w:tcPr>
            <w:tcW w:w="2268" w:type="dxa"/>
            <w:tcBorders>
              <w:left w:val="single" w:sz="4" w:space="0" w:color="auto"/>
            </w:tcBorders>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…éventuellement</w:t>
            </w:r>
          </w:p>
        </w:tc>
      </w:tr>
      <w:tr w:rsidR="00570904" w:rsidRPr="00A041D3" w:rsidTr="0069418D">
        <w:tc>
          <w:tcPr>
            <w:tcW w:w="2660" w:type="dxa"/>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4</w:t>
            </w:r>
            <w:r w:rsidRPr="00077EEA">
              <w:rPr>
                <w:rFonts w:ascii="Verdana" w:hAnsi="Verdana"/>
                <w:i/>
                <w:sz w:val="18"/>
                <w:szCs w:val="18"/>
                <w:vertAlign w:val="superscript"/>
              </w:rPr>
              <w:t>ème</w:t>
            </w:r>
            <w:r w:rsidRPr="00077EEA">
              <w:rPr>
                <w:rFonts w:ascii="Verdana" w:hAnsi="Verdana"/>
                <w:i/>
                <w:sz w:val="18"/>
                <w:szCs w:val="18"/>
              </w:rPr>
              <w:t xml:space="preserve"> </w:t>
            </w:r>
            <w:r w:rsidRPr="00077EEA">
              <w:rPr>
                <w:rFonts w:ascii="Verdana" w:hAnsi="Verdana"/>
                <w:i/>
                <w:sz w:val="18"/>
                <w:szCs w:val="18"/>
              </w:rPr>
              <w:tab/>
              <w:t>Lycée C</w:t>
            </w:r>
          </w:p>
        </w:tc>
        <w:tc>
          <w:tcPr>
            <w:tcW w:w="2551" w:type="dxa"/>
            <w:tcBorders>
              <w:right w:val="single" w:sz="4" w:space="0" w:color="auto"/>
            </w:tcBorders>
          </w:tcPr>
          <w:p w:rsidR="00570904" w:rsidRPr="00077EEA" w:rsidRDefault="00570904" w:rsidP="0069418D">
            <w:pPr>
              <w:spacing w:line="276" w:lineRule="auto"/>
              <w:ind w:left="2127" w:hanging="2244"/>
              <w:rPr>
                <w:rFonts w:ascii="Verdana" w:hAnsi="Verdana"/>
                <w:i/>
                <w:sz w:val="18"/>
                <w:szCs w:val="18"/>
              </w:rPr>
            </w:pPr>
            <w:r w:rsidRPr="00077EEA">
              <w:rPr>
                <w:rFonts w:ascii="Verdana" w:hAnsi="Verdana"/>
                <w:i/>
                <w:sz w:val="18"/>
                <w:szCs w:val="18"/>
              </w:rPr>
              <w:t>…éventuellement</w:t>
            </w:r>
          </w:p>
        </w:tc>
        <w:tc>
          <w:tcPr>
            <w:tcW w:w="2268" w:type="dxa"/>
            <w:tcBorders>
              <w:left w:val="single" w:sz="4" w:space="0" w:color="auto"/>
            </w:tcBorders>
          </w:tcPr>
          <w:p w:rsidR="00570904" w:rsidRPr="00077EEA" w:rsidRDefault="00570904" w:rsidP="0069418D">
            <w:pPr>
              <w:spacing w:line="276" w:lineRule="auto"/>
              <w:jc w:val="both"/>
              <w:rPr>
                <w:rFonts w:ascii="Verdana" w:hAnsi="Verdana"/>
                <w:i/>
                <w:sz w:val="18"/>
                <w:szCs w:val="18"/>
              </w:rPr>
            </w:pPr>
          </w:p>
        </w:tc>
      </w:tr>
      <w:tr w:rsidR="00570904" w:rsidRPr="00A041D3" w:rsidTr="0069418D">
        <w:tc>
          <w:tcPr>
            <w:tcW w:w="2660" w:type="dxa"/>
          </w:tcPr>
          <w:p w:rsidR="00570904" w:rsidRPr="00077EEA" w:rsidRDefault="00570904" w:rsidP="0069418D">
            <w:pPr>
              <w:spacing w:line="276" w:lineRule="auto"/>
              <w:jc w:val="both"/>
              <w:rPr>
                <w:rFonts w:ascii="Verdana" w:hAnsi="Verdana"/>
                <w:i/>
                <w:sz w:val="18"/>
                <w:szCs w:val="18"/>
              </w:rPr>
            </w:pPr>
            <w:r w:rsidRPr="00077EEA">
              <w:rPr>
                <w:rFonts w:ascii="Verdana" w:hAnsi="Verdana"/>
                <w:i/>
                <w:sz w:val="18"/>
                <w:szCs w:val="18"/>
              </w:rPr>
              <w:t>5</w:t>
            </w:r>
            <w:r w:rsidRPr="00077EEA">
              <w:rPr>
                <w:rFonts w:ascii="Verdana" w:hAnsi="Verdana"/>
                <w:i/>
                <w:sz w:val="18"/>
                <w:szCs w:val="18"/>
                <w:vertAlign w:val="superscript"/>
              </w:rPr>
              <w:t>ème</w:t>
            </w:r>
            <w:r w:rsidRPr="00077EEA">
              <w:rPr>
                <w:rFonts w:ascii="Verdana" w:hAnsi="Verdana"/>
                <w:i/>
                <w:sz w:val="18"/>
                <w:szCs w:val="18"/>
              </w:rPr>
              <w:t xml:space="preserve"> </w:t>
            </w:r>
            <w:r w:rsidRPr="00077EEA">
              <w:rPr>
                <w:rFonts w:ascii="Verdana" w:hAnsi="Verdana"/>
                <w:i/>
                <w:sz w:val="18"/>
                <w:szCs w:val="18"/>
              </w:rPr>
              <w:tab/>
              <w:t>LP 2</w:t>
            </w:r>
          </w:p>
        </w:tc>
        <w:tc>
          <w:tcPr>
            <w:tcW w:w="2551" w:type="dxa"/>
            <w:tcBorders>
              <w:right w:val="single" w:sz="4" w:space="0" w:color="auto"/>
            </w:tcBorders>
          </w:tcPr>
          <w:p w:rsidR="00570904" w:rsidRPr="00077EEA" w:rsidRDefault="00570904" w:rsidP="0069418D">
            <w:pPr>
              <w:spacing w:line="276" w:lineRule="auto"/>
              <w:ind w:left="2127" w:hanging="2244"/>
              <w:rPr>
                <w:rFonts w:ascii="Verdana" w:hAnsi="Verdana"/>
                <w:i/>
                <w:sz w:val="18"/>
                <w:szCs w:val="18"/>
              </w:rPr>
            </w:pPr>
          </w:p>
        </w:tc>
        <w:tc>
          <w:tcPr>
            <w:tcW w:w="2268" w:type="dxa"/>
            <w:tcBorders>
              <w:left w:val="single" w:sz="4" w:space="0" w:color="auto"/>
            </w:tcBorders>
          </w:tcPr>
          <w:p w:rsidR="00570904" w:rsidRPr="00077EEA" w:rsidRDefault="00570904" w:rsidP="0069418D">
            <w:pPr>
              <w:spacing w:line="276" w:lineRule="auto"/>
              <w:jc w:val="both"/>
              <w:rPr>
                <w:rFonts w:ascii="Verdana" w:hAnsi="Verdana"/>
                <w:i/>
                <w:sz w:val="18"/>
                <w:szCs w:val="18"/>
              </w:rPr>
            </w:pPr>
          </w:p>
        </w:tc>
      </w:tr>
    </w:tbl>
    <w:p w:rsidR="00570904" w:rsidRPr="00A041D3" w:rsidRDefault="00570904" w:rsidP="00570904">
      <w:pPr>
        <w:spacing w:line="276" w:lineRule="auto"/>
        <w:jc w:val="both"/>
        <w:rPr>
          <w:rFonts w:ascii="Verdana" w:hAnsi="Verdana"/>
          <w:i/>
          <w:sz w:val="18"/>
          <w:szCs w:val="18"/>
        </w:rPr>
      </w:pPr>
    </w:p>
    <w:p w:rsidR="00570904" w:rsidRPr="00A041D3" w:rsidRDefault="00570904" w:rsidP="00570904">
      <w:pPr>
        <w:spacing w:line="276" w:lineRule="auto"/>
        <w:rPr>
          <w:rFonts w:ascii="Verdana" w:hAnsi="Verdana"/>
          <w:sz w:val="18"/>
          <w:szCs w:val="18"/>
        </w:rPr>
      </w:pPr>
      <w:r w:rsidRPr="00A041D3">
        <w:rPr>
          <w:rFonts w:ascii="Verdana" w:hAnsi="Verdana"/>
          <w:sz w:val="18"/>
          <w:szCs w:val="18"/>
        </w:rPr>
        <w:t xml:space="preserve">      </w:t>
      </w:r>
      <w:r w:rsidRPr="00A041D3">
        <w:rPr>
          <w:rFonts w:ascii="Verdana" w:hAnsi="Verdana"/>
          <w:sz w:val="18"/>
          <w:szCs w:val="18"/>
        </w:rPr>
        <w:tab/>
      </w:r>
      <w:r w:rsidRPr="00A041D3">
        <w:rPr>
          <w:rFonts w:ascii="Verdana" w:hAnsi="Verdana"/>
          <w:sz w:val="18"/>
          <w:szCs w:val="18"/>
        </w:rPr>
        <w:tab/>
      </w:r>
    </w:p>
    <w:p w:rsidR="00570904" w:rsidRPr="00C34220" w:rsidRDefault="00570904" w:rsidP="00570904">
      <w:pPr>
        <w:spacing w:line="276" w:lineRule="auto"/>
        <w:rPr>
          <w:b/>
        </w:rPr>
      </w:pPr>
      <w:r w:rsidRPr="00C34220">
        <w:rPr>
          <w:b/>
        </w:rPr>
        <w:t xml:space="preserve">Les podiums Lycées et LP ne sont donc plus du tout en lien avec </w:t>
      </w:r>
      <w:r>
        <w:rPr>
          <w:b/>
        </w:rPr>
        <w:t>la</w:t>
      </w:r>
      <w:r w:rsidRPr="00C34220">
        <w:rPr>
          <w:b/>
        </w:rPr>
        <w:t xml:space="preserve"> logique sportive alors que tous les élèves s’affrontent dans une seule et même compétition</w:t>
      </w:r>
      <w:r>
        <w:rPr>
          <w:b/>
        </w:rPr>
        <w:t xml:space="preserve"> </w:t>
      </w:r>
      <w:r w:rsidRPr="00C34220">
        <w:rPr>
          <w:b/>
        </w:rPr>
        <w:t xml:space="preserve">! </w:t>
      </w:r>
    </w:p>
    <w:p w:rsidR="00570904" w:rsidRDefault="00570904" w:rsidP="00570904">
      <w:pPr>
        <w:rPr>
          <w:b/>
          <w:u w:val="single"/>
        </w:rPr>
      </w:pPr>
    </w:p>
    <w:p w:rsidR="00570904" w:rsidRDefault="00570904" w:rsidP="00570904">
      <w:pPr>
        <w:rPr>
          <w:b/>
          <w:u w:val="single"/>
        </w:rPr>
      </w:pPr>
      <w:r>
        <w:rPr>
          <w:b/>
          <w:u w:val="single"/>
        </w:rPr>
        <w:t xml:space="preserve">Dans </w:t>
      </w:r>
      <w:r w:rsidRPr="00344164">
        <w:rPr>
          <w:b/>
          <w:u w:val="single"/>
        </w:rPr>
        <w:t>ces conditions</w:t>
      </w:r>
      <w:r>
        <w:rPr>
          <w:b/>
          <w:u w:val="single"/>
        </w:rPr>
        <w:t>, seul un podium issu du classement général reste légitime.</w:t>
      </w:r>
    </w:p>
    <w:p w:rsidR="00570904" w:rsidRDefault="00570904" w:rsidP="00570904">
      <w:pPr>
        <w:spacing w:line="276" w:lineRule="auto"/>
        <w:rPr>
          <w:b/>
        </w:rPr>
      </w:pPr>
    </w:p>
    <w:p w:rsidR="00570904" w:rsidRPr="00C34220" w:rsidRDefault="00570904" w:rsidP="00570904">
      <w:pPr>
        <w:spacing w:line="276" w:lineRule="auto"/>
        <w:rPr>
          <w:b/>
        </w:rPr>
      </w:pPr>
      <w:r>
        <w:rPr>
          <w:b/>
        </w:rPr>
        <w:t>D</w:t>
      </w:r>
      <w:r w:rsidRPr="00C34220">
        <w:rPr>
          <w:b/>
        </w:rPr>
        <w:t xml:space="preserve">ésormais </w:t>
      </w:r>
      <w:r>
        <w:rPr>
          <w:b/>
        </w:rPr>
        <w:t xml:space="preserve">nous serions confrontés à </w:t>
      </w:r>
      <w:r w:rsidRPr="00C34220">
        <w:rPr>
          <w:b/>
        </w:rPr>
        <w:t>deux podiums distincts :</w:t>
      </w:r>
    </w:p>
    <w:p w:rsidR="00570904" w:rsidRPr="00C34220" w:rsidRDefault="00570904" w:rsidP="00570904">
      <w:pPr>
        <w:rPr>
          <w:b/>
        </w:rPr>
      </w:pPr>
      <w:r w:rsidRPr="00C34220">
        <w:rPr>
          <w:b/>
        </w:rPr>
        <w:t xml:space="preserve">un podium lycée et un </w:t>
      </w:r>
      <w:r>
        <w:rPr>
          <w:b/>
        </w:rPr>
        <w:t xml:space="preserve">podium </w:t>
      </w:r>
      <w:r w:rsidRPr="00C34220">
        <w:rPr>
          <w:b/>
        </w:rPr>
        <w:t xml:space="preserve">LP qui n’auront plus </w:t>
      </w:r>
      <w:r>
        <w:rPr>
          <w:b/>
        </w:rPr>
        <w:t xml:space="preserve">de </w:t>
      </w:r>
      <w:r w:rsidRPr="00C34220">
        <w:rPr>
          <w:b/>
        </w:rPr>
        <w:t>sens pour les élèves</w:t>
      </w:r>
      <w:r>
        <w:rPr>
          <w:b/>
        </w:rPr>
        <w:t>, voire qui discrimineront une fois de plus les élèves de lycée Professionnel et surtout leur feront vivre une grande injustice dans le cadre du sport scolaire !</w:t>
      </w:r>
    </w:p>
    <w:p w:rsidR="00570904" w:rsidRDefault="00570904" w:rsidP="00570904">
      <w:pPr>
        <w:rPr>
          <w:b/>
        </w:rPr>
      </w:pPr>
    </w:p>
    <w:p w:rsidR="00570904" w:rsidRDefault="00570904" w:rsidP="00570904">
      <w:pPr>
        <w:rPr>
          <w:b/>
          <w:i/>
          <w:u w:val="single"/>
        </w:rPr>
      </w:pPr>
      <w:r w:rsidRPr="00C34220">
        <w:rPr>
          <w:b/>
        </w:rPr>
        <w:t xml:space="preserve">Il semblerait que ce qui détermine ces 2 podiums,  soit l’attribution du 16/20 à un même nombre d’élèves </w:t>
      </w:r>
      <w:r>
        <w:rPr>
          <w:b/>
        </w:rPr>
        <w:t xml:space="preserve">de </w:t>
      </w:r>
      <w:r w:rsidRPr="00C34220">
        <w:rPr>
          <w:b/>
        </w:rPr>
        <w:t>lycée</w:t>
      </w:r>
      <w:r>
        <w:rPr>
          <w:b/>
        </w:rPr>
        <w:t xml:space="preserve"> général et de  </w:t>
      </w:r>
      <w:r w:rsidRPr="00C34220">
        <w:rPr>
          <w:b/>
        </w:rPr>
        <w:t>LP…</w:t>
      </w:r>
      <w:r>
        <w:rPr>
          <w:b/>
        </w:rPr>
        <w:t xml:space="preserve"> </w:t>
      </w:r>
    </w:p>
    <w:p w:rsidR="00570904" w:rsidRPr="00344164" w:rsidRDefault="00570904" w:rsidP="00570904">
      <w:pPr>
        <w:rPr>
          <w:b/>
        </w:rPr>
      </w:pPr>
      <w:r w:rsidRPr="00404DBC">
        <w:rPr>
          <w:b/>
          <w:u w:val="single"/>
        </w:rPr>
        <w:t xml:space="preserve">La valorisation du 16 /20, </w:t>
      </w:r>
      <w:r w:rsidRPr="00404DBC">
        <w:rPr>
          <w:rFonts w:ascii="Verdana" w:hAnsi="Verdana"/>
          <w:sz w:val="18"/>
          <w:szCs w:val="18"/>
          <w:u w:val="single"/>
        </w:rPr>
        <w:t xml:space="preserve">(article 18 de l’arrêté du 21 décembre 2011) </w:t>
      </w:r>
      <w:r w:rsidRPr="00404DBC">
        <w:rPr>
          <w:b/>
          <w:u w:val="single"/>
        </w:rPr>
        <w:t xml:space="preserve">doit absolument être </w:t>
      </w:r>
      <w:r w:rsidRPr="00344164">
        <w:rPr>
          <w:b/>
          <w:u w:val="single"/>
        </w:rPr>
        <w:t>dissociée d</w:t>
      </w:r>
      <w:r w:rsidRPr="00404DBC">
        <w:rPr>
          <w:b/>
          <w:u w:val="single"/>
        </w:rPr>
        <w:t>u podium sportif</w:t>
      </w:r>
      <w:r w:rsidRPr="00A41066">
        <w:rPr>
          <w:b/>
        </w:rPr>
        <w:t xml:space="preserve">. </w:t>
      </w:r>
      <w:r>
        <w:rPr>
          <w:b/>
        </w:rPr>
        <w:t>L</w:t>
      </w:r>
      <w:r w:rsidRPr="00C34220">
        <w:rPr>
          <w:b/>
        </w:rPr>
        <w:t>es J</w:t>
      </w:r>
      <w:r>
        <w:rPr>
          <w:b/>
        </w:rPr>
        <w:t>.</w:t>
      </w:r>
      <w:r w:rsidRPr="00C34220">
        <w:rPr>
          <w:b/>
        </w:rPr>
        <w:t xml:space="preserve">O </w:t>
      </w:r>
      <w:r>
        <w:rPr>
          <w:b/>
        </w:rPr>
        <w:t xml:space="preserve">certifiés au niveau national, </w:t>
      </w:r>
      <w:r w:rsidRPr="00C34220">
        <w:rPr>
          <w:b/>
        </w:rPr>
        <w:t xml:space="preserve">bénéficie  de cette valorisation sans accéder </w:t>
      </w:r>
      <w:r>
        <w:rPr>
          <w:b/>
        </w:rPr>
        <w:t xml:space="preserve">pour autant </w:t>
      </w:r>
      <w:r w:rsidRPr="00C34220">
        <w:rPr>
          <w:b/>
        </w:rPr>
        <w:t>à un podium</w:t>
      </w:r>
      <w:r>
        <w:rPr>
          <w:b/>
        </w:rPr>
        <w:t xml:space="preserve">. Pourquoi cela ne serait-il pas possible pour les élèves des 3 premiers lycées et des 3 premiers lycées </w:t>
      </w:r>
      <w:r w:rsidRPr="00344164">
        <w:rPr>
          <w:b/>
        </w:rPr>
        <w:t>professionnels ?</w:t>
      </w:r>
    </w:p>
    <w:p w:rsidR="00570904" w:rsidRDefault="00570904" w:rsidP="00570904">
      <w:pPr>
        <w:rPr>
          <w:b/>
        </w:rPr>
      </w:pPr>
    </w:p>
    <w:p w:rsidR="00570904" w:rsidRPr="00A41066" w:rsidRDefault="00570904" w:rsidP="00570904">
      <w:pPr>
        <w:rPr>
          <w:b/>
          <w:color w:val="FF0000"/>
        </w:rPr>
      </w:pPr>
      <w:r>
        <w:rPr>
          <w:b/>
        </w:rPr>
        <w:t xml:space="preserve">Nous devons militer pour une équité entre les voix de formations et rester attentifs à la considération et à la place qui sont faites aux LYCEENS de la voix professionnelle, </w:t>
      </w:r>
      <w:r w:rsidRPr="00344164">
        <w:rPr>
          <w:b/>
        </w:rPr>
        <w:t>d’autant que dans le</w:t>
      </w:r>
      <w:r w:rsidRPr="00A41066">
        <w:rPr>
          <w:b/>
          <w:color w:val="FF0000"/>
        </w:rPr>
        <w:t xml:space="preserve"> </w:t>
      </w:r>
      <w:r>
        <w:rPr>
          <w:b/>
        </w:rPr>
        <w:t xml:space="preserve">même temps, on nous prône, y compris dans les </w:t>
      </w:r>
      <w:r w:rsidRPr="00344164">
        <w:rPr>
          <w:b/>
        </w:rPr>
        <w:t>Championnats de France UNSS, les valeurs de l’Olympisme</w:t>
      </w:r>
      <w:r>
        <w:rPr>
          <w:b/>
        </w:rPr>
        <w:t>. « </w:t>
      </w:r>
      <w:r w:rsidRPr="0045123C">
        <w:rPr>
          <w:i/>
        </w:rPr>
        <w:t>Le Mouvement olympique a pour but de contribuer à bâtir un monde pacifique et meilleur en éduquant la jeunesse par le moyen du sport pratiqué sans discrimination d'aucune sorte et dans l'esprit olympique qui exige la compréhension mutuelle, l'esprit d'amitié, la solidarité et le fair-play</w:t>
      </w:r>
      <w:r>
        <w:t> » Charte de l’olympisme</w:t>
      </w:r>
      <w:r w:rsidRPr="00A41066">
        <w:rPr>
          <w:color w:val="FF0000"/>
        </w:rPr>
        <w:t>.</w:t>
      </w:r>
    </w:p>
    <w:p w:rsidR="00570904" w:rsidRDefault="00570904" w:rsidP="00570904">
      <w:pPr>
        <w:rPr>
          <w:b/>
        </w:rPr>
      </w:pPr>
    </w:p>
    <w:p w:rsidR="00570904" w:rsidRDefault="00570904" w:rsidP="00570904">
      <w:pPr>
        <w:rPr>
          <w:b/>
        </w:rPr>
      </w:pPr>
      <w:r>
        <w:rPr>
          <w:b/>
        </w:rPr>
        <w:t>« Taire ce qu’il ne faut pas dire et savoir supporter l’injustice, voilà des choses bien difficiles »</w:t>
      </w:r>
    </w:p>
    <w:p w:rsidR="00570904" w:rsidRDefault="00570904" w:rsidP="00570904">
      <w:pPr>
        <w:jc w:val="right"/>
        <w:rPr>
          <w:b/>
        </w:rPr>
      </w:pPr>
      <w:r>
        <w:rPr>
          <w:b/>
        </w:rPr>
        <w:t>Chilon de Sparte</w:t>
      </w:r>
    </w:p>
    <w:p w:rsidR="00570904" w:rsidRDefault="00570904" w:rsidP="00570904">
      <w:pPr>
        <w:jc w:val="right"/>
        <w:rPr>
          <w:b/>
        </w:rPr>
      </w:pPr>
    </w:p>
    <w:p w:rsidR="00570904" w:rsidRPr="007767DB" w:rsidRDefault="00570904" w:rsidP="00570904">
      <w:pPr>
        <w:jc w:val="right"/>
      </w:pPr>
      <w:r w:rsidRPr="007767DB">
        <w:t xml:space="preserve">Karine </w:t>
      </w:r>
      <w:proofErr w:type="spellStart"/>
      <w:r w:rsidRPr="007767DB">
        <w:t>Rivalland</w:t>
      </w:r>
      <w:proofErr w:type="spellEnd"/>
    </w:p>
    <w:p w:rsidR="00FF0B85" w:rsidRDefault="00FF0B85"/>
    <w:sectPr w:rsidR="00FF0B85" w:rsidSect="00CB07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 w:name="Gotham-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4098D"/>
    <w:multiLevelType w:val="hybridMultilevel"/>
    <w:tmpl w:val="7786E1EC"/>
    <w:lvl w:ilvl="0" w:tplc="BB8A2B88">
      <w:start w:val="3"/>
      <w:numFmt w:val="bullet"/>
      <w:lvlText w:val="-"/>
      <w:lvlJc w:val="left"/>
      <w:pPr>
        <w:ind w:left="644"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0904"/>
    <w:rsid w:val="00570904"/>
    <w:rsid w:val="00FF0B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0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4611</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EDPI</dc:creator>
  <cp:lastModifiedBy>EDPI</cp:lastModifiedBy>
  <cp:revision>1</cp:revision>
  <dcterms:created xsi:type="dcterms:W3CDTF">2017-11-19T12:15:00Z</dcterms:created>
  <dcterms:modified xsi:type="dcterms:W3CDTF">2017-11-19T12:15:00Z</dcterms:modified>
</cp:coreProperties>
</file>